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威海市水务集团有限公司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室内给水管道工程竣工验收标准</w:t>
      </w:r>
    </w:p>
    <w:p>
      <w:pPr>
        <w:spacing w:line="560" w:lineRule="exact"/>
        <w:ind w:firstLine="720" w:firstLineChars="200"/>
        <w:jc w:val="center"/>
        <w:rPr>
          <w:rFonts w:ascii="仿宋_GB2312" w:eastAsia="仿宋_GB2312"/>
          <w:sz w:val="36"/>
          <w:szCs w:val="36"/>
          <w:lang w:eastAsia="zh-CN"/>
        </w:rPr>
      </w:pPr>
    </w:p>
    <w:p>
      <w:pPr>
        <w:pStyle w:val="9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总则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  <w:lang w:val="zh-CN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为加强室内给水管道工程的施工管理，统一工程施工质量检验、验收标准，确保工程质量，制定本标准。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宋体" w:eastAsia="仿宋_GB2312" w:cs="宋体"/>
          <w:sz w:val="32"/>
          <w:szCs w:val="32"/>
        </w:rPr>
        <w:t>本标准适用于集团公司用户工程的室内管线、水表及附件等设施的质量验收。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1.3</w:t>
      </w:r>
      <w:r>
        <w:rPr>
          <w:rFonts w:hint="eastAsia" w:ascii="仿宋_GB2312" w:hAnsi="宋体" w:eastAsia="仿宋_GB2312" w:cs="宋体"/>
          <w:sz w:val="32"/>
          <w:szCs w:val="32"/>
        </w:rPr>
        <w:t>验收必须符合本标准的规定外，尚应符合项目施工图纸设计及其相关设计文件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，满足</w:t>
      </w:r>
      <w:r>
        <w:rPr>
          <w:rFonts w:hint="eastAsia" w:ascii="仿宋_GB2312" w:hAnsi="宋体" w:eastAsia="仿宋_GB2312" w:cs="宋体"/>
          <w:sz w:val="32"/>
          <w:szCs w:val="32"/>
        </w:rPr>
        <w:t>建设工程合同中约定的质量要求。更应遵照《中华人民共和国建筑法》《建设工程质量管理条例》、《建筑工程施工质量验收统一标准》《给水排水管道工程施工及验收规范》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《给水排水构筑物工程施工及验收规范》</w:t>
      </w:r>
      <w:r>
        <w:rPr>
          <w:rFonts w:hint="eastAsia" w:ascii="仿宋_GB2312" w:hAnsi="宋体" w:eastAsia="仿宋_GB2312" w:cs="宋体"/>
          <w:sz w:val="32"/>
          <w:szCs w:val="32"/>
        </w:rPr>
        <w:t>《建筑给水排水及采暖工程施工质量验收规范》等国家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z w:val="32"/>
          <w:szCs w:val="32"/>
        </w:rPr>
        <w:t>地方有关法律、法规与规范等，并严格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执行</w:t>
      </w:r>
      <w:r>
        <w:rPr>
          <w:rFonts w:hint="eastAsia" w:ascii="仿宋_GB2312" w:hAnsi="宋体" w:eastAsia="仿宋_GB2312" w:cs="宋体"/>
          <w:sz w:val="32"/>
          <w:szCs w:val="32"/>
        </w:rPr>
        <w:t>水务集团制定的各类设计、施工、安装通用图集标准规范等。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sz w:val="32"/>
          <w:szCs w:val="32"/>
        </w:rPr>
        <w:t>给水管道工程所用的原材料、半成品、成品等相关设施产品的品种、规格、性能必须符合国家有关标准规定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及《威海市水务集团有限公司主要材料技术要求》。</w:t>
      </w:r>
      <w:r>
        <w:rPr>
          <w:rFonts w:hint="eastAsia" w:ascii="仿宋_GB2312" w:hAnsi="宋体" w:eastAsia="仿宋_GB2312" w:cs="宋体"/>
          <w:sz w:val="32"/>
          <w:szCs w:val="32"/>
        </w:rPr>
        <w:t>接触饮用水的产品必须符合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《生活饮用水卫生标准》的规定，</w:t>
      </w:r>
      <w:r>
        <w:rPr>
          <w:rFonts w:hint="eastAsia" w:ascii="仿宋_GB2312" w:hAnsi="宋体" w:eastAsia="仿宋_GB2312" w:cs="宋体"/>
          <w:sz w:val="32"/>
          <w:szCs w:val="32"/>
        </w:rPr>
        <w:t>严禁使用国家明令淘汰、禁用的产品。</w:t>
      </w:r>
    </w:p>
    <w:p>
      <w:pPr>
        <w:pStyle w:val="9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2</w:t>
      </w:r>
      <w:r>
        <w:rPr>
          <w:rFonts w:ascii="黑体" w:hAnsi="黑体" w:eastAsia="黑体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宋体"/>
          <w:bCs/>
          <w:sz w:val="32"/>
          <w:szCs w:val="32"/>
        </w:rPr>
        <w:t>基本规定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2.1</w:t>
      </w:r>
      <w:r>
        <w:rPr>
          <w:rFonts w:hint="eastAsia" w:ascii="仿宋_GB2312" w:hAnsi="宋体" w:eastAsia="仿宋_GB2312" w:cs="宋体"/>
          <w:sz w:val="32"/>
          <w:szCs w:val="32"/>
        </w:rPr>
        <w:t>管道施工完毕必须经过施工验收合格后方可投入使用。隐蔽工程必须经过隐蔽验收合格后，方可进行下一工序。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宋体" w:eastAsia="仿宋_GB2312" w:cs="宋体"/>
          <w:sz w:val="32"/>
          <w:szCs w:val="32"/>
        </w:rPr>
        <w:t>中间验收应由施工单位会同设计单位、建设单位、使用部门及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</w:t>
      </w:r>
      <w:r>
        <w:rPr>
          <w:rFonts w:hint="eastAsia" w:ascii="仿宋_GB2312" w:hAnsi="宋体" w:eastAsia="仿宋_GB2312" w:cs="宋体"/>
          <w:sz w:val="32"/>
          <w:szCs w:val="32"/>
        </w:rPr>
        <w:t>相关部门共同进行。中间验收时，应按图纸设计及各相关标准规定进行质量检验，并填写中间验收记录，其格式应符合相关规范、文件的规定。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宋体" w:eastAsia="仿宋_GB2312" w:cs="宋体"/>
          <w:sz w:val="32"/>
          <w:szCs w:val="32"/>
        </w:rPr>
        <w:t>工程所用的管材、管道附件、构（配）件和主要原材料等产品进入施工现场时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必须进行进场验收并妥善保管。进场验收时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应检查每批产品的订购合同、质量合格证书、性能检验报告、使用说明书、进口产品的商检报告及证件等。必要时应按国家有关标准规定进行复验，验收合格后方可使用。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宋体" w:eastAsia="仿宋_GB2312" w:cs="宋体"/>
          <w:sz w:val="32"/>
          <w:szCs w:val="32"/>
        </w:rPr>
        <w:t>施工单位自检及试运行合格后，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应</w:t>
      </w:r>
      <w:r>
        <w:rPr>
          <w:rFonts w:hint="eastAsia" w:ascii="仿宋_GB2312" w:hAnsi="宋体" w:eastAsia="仿宋_GB2312" w:cs="宋体"/>
          <w:sz w:val="32"/>
          <w:szCs w:val="32"/>
        </w:rPr>
        <w:t>会同勘察单位、设计单位、施工单位、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监理单位（如有）、</w:t>
      </w:r>
      <w:r>
        <w:rPr>
          <w:rFonts w:hint="eastAsia" w:ascii="仿宋_GB2312" w:hAnsi="宋体" w:eastAsia="仿宋_GB2312" w:cs="宋体"/>
          <w:sz w:val="32"/>
          <w:szCs w:val="32"/>
        </w:rPr>
        <w:t>使用部门及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</w:t>
      </w:r>
      <w:r>
        <w:rPr>
          <w:rFonts w:hint="eastAsia" w:ascii="仿宋_GB2312" w:hAnsi="宋体" w:eastAsia="仿宋_GB2312" w:cs="宋体"/>
          <w:sz w:val="32"/>
          <w:szCs w:val="32"/>
        </w:rPr>
        <w:t>相关部门共同进行竣工验收。试运行时应按图纸设计及各相关标准规定进行质量检验，并填写水压试验与管道冲洗检验报告及联合验收运行记录，其格式应符合相关规范、文件的规定。竣工验收合格后，将所有相关资料发送至项目接收单位。</w:t>
      </w:r>
    </w:p>
    <w:p>
      <w:pPr>
        <w:pStyle w:val="9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3</w:t>
      </w:r>
      <w:r>
        <w:rPr>
          <w:rFonts w:ascii="黑体" w:hAnsi="黑体" w:eastAsia="黑体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宋体"/>
          <w:bCs/>
          <w:sz w:val="32"/>
          <w:szCs w:val="32"/>
        </w:rPr>
        <w:t>现场验收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宋体" w:eastAsia="仿宋_GB2312" w:cs="宋体"/>
          <w:sz w:val="32"/>
          <w:szCs w:val="32"/>
        </w:rPr>
        <w:t>管道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必须进行通水试验并做好记录。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检验方法：观察和开启阀门、水嘴等放水。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3.1.2</w:t>
      </w:r>
      <w:r>
        <w:rPr>
          <w:rFonts w:hint="eastAsia" w:ascii="仿宋_GB2312" w:hAnsi="宋体" w:eastAsia="仿宋_GB2312" w:cs="宋体"/>
          <w:sz w:val="32"/>
          <w:szCs w:val="32"/>
        </w:rPr>
        <w:t>室内给水管道的水压试验必须符合设计要求。当设计未注明时，各种材质的给水管道系统试验压力均为工作压力的</w:t>
      </w:r>
      <w:r>
        <w:rPr>
          <w:rFonts w:ascii="仿宋_GB2312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宋体" w:eastAsia="仿宋_GB2312" w:cs="宋体"/>
          <w:sz w:val="32"/>
          <w:szCs w:val="32"/>
        </w:rPr>
        <w:t>倍，但不得小于</w:t>
      </w:r>
      <w:r>
        <w:rPr>
          <w:rFonts w:ascii="仿宋_GB2312" w:eastAsia="仿宋_GB2312"/>
          <w:sz w:val="32"/>
          <w:szCs w:val="32"/>
          <w:lang w:val="en-US" w:eastAsia="zh-CN"/>
        </w:rPr>
        <w:t>0.6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MP</w:t>
      </w:r>
      <w:r>
        <w:rPr>
          <w:rFonts w:ascii="仿宋_GB2312" w:eastAsia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检验方法：检查水压试验记录。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交付使用前必须冲洗和消毒，并经水质化验中心取样检验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hAnsi="宋体" w:eastAsia="仿宋_GB2312" w:cs="宋体"/>
          <w:sz w:val="32"/>
          <w:szCs w:val="32"/>
        </w:rPr>
        <w:t>符合国家《生活饮用水标准》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后方可</w:t>
      </w:r>
      <w:r>
        <w:rPr>
          <w:rFonts w:hint="eastAsia" w:ascii="仿宋_GB2312" w:hAnsi="宋体" w:eastAsia="仿宋_GB2312" w:cs="宋体"/>
          <w:sz w:val="32"/>
          <w:szCs w:val="32"/>
        </w:rPr>
        <w:t>使用。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检验方法：检查水质检测报告。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3.1.4</w:t>
      </w:r>
      <w:r>
        <w:rPr>
          <w:rFonts w:hint="eastAsia" w:ascii="仿宋_GB2312" w:hAnsi="宋体" w:eastAsia="仿宋_GB2312" w:cs="宋体"/>
          <w:sz w:val="32"/>
          <w:szCs w:val="32"/>
        </w:rPr>
        <w:t>管道的配件应采用与管材相应的材料，其工作压力和管道相匹配。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检验方法：现场观察和查阅材料进货单。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3.1.5</w:t>
      </w:r>
      <w:r>
        <w:rPr>
          <w:rFonts w:hint="eastAsia" w:ascii="仿宋_GB2312" w:hAnsi="宋体" w:eastAsia="仿宋_GB2312" w:cs="宋体"/>
          <w:sz w:val="32"/>
          <w:szCs w:val="32"/>
        </w:rPr>
        <w:t>给水引入管与排水排出管的水平净距不得小于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1米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室内给水与排水管道平行敷设时，两管间的最小水平净距不得小于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500mm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交叉铺设时，垂直净距不得小于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150mm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给水管应铺在排水管上面。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检验方法：尺量检查。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3.1.6</w:t>
      </w:r>
      <w:r>
        <w:rPr>
          <w:rFonts w:hint="eastAsia" w:ascii="仿宋_GB2312" w:hAnsi="宋体" w:eastAsia="仿宋_GB2312" w:cs="宋体"/>
          <w:sz w:val="32"/>
          <w:szCs w:val="32"/>
        </w:rPr>
        <w:t>管道的支架、吊架应平整牢固。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3.1.7</w:t>
      </w:r>
      <w:r>
        <w:rPr>
          <w:rFonts w:hint="eastAsia" w:ascii="仿宋_GB2312" w:hAnsi="宋体" w:eastAsia="仿宋_GB2312" w:cs="宋体"/>
          <w:sz w:val="32"/>
          <w:szCs w:val="32"/>
        </w:rPr>
        <w:t>立管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3.1.7.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靠柱敷设时，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给水立管的</w:t>
      </w:r>
      <w:r>
        <w:rPr>
          <w:rFonts w:hint="eastAsia" w:ascii="仿宋_GB2312" w:hAnsi="宋体" w:eastAsia="仿宋_GB2312" w:cs="宋体"/>
          <w:sz w:val="32"/>
          <w:szCs w:val="32"/>
        </w:rPr>
        <w:t>管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外壁距离其他管道或墙体净距应</w:t>
      </w:r>
      <w:r>
        <w:rPr>
          <w:rFonts w:hint="eastAsia" w:ascii="仿宋_GB2312" w:hAnsi="宋体" w:eastAsia="仿宋_GB2312" w:cs="宋体"/>
          <w:sz w:val="32"/>
          <w:szCs w:val="32"/>
        </w:rPr>
        <w:t>大于等于</w:t>
      </w:r>
      <w:r>
        <w:rPr>
          <w:rFonts w:ascii="仿宋_GB2312" w:eastAsia="仿宋_GB2312"/>
          <w:sz w:val="32"/>
          <w:szCs w:val="32"/>
          <w:lang w:val="en-US" w:eastAsia="zh-CN"/>
        </w:rPr>
        <w:t>100mm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管道井应每层设外开检修门。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检验方法：现场观察和尺量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3.1.7.2</w:t>
      </w:r>
      <w:r>
        <w:rPr>
          <w:rFonts w:hint="eastAsia" w:ascii="仿宋_GB2312" w:hAnsi="宋体" w:eastAsia="仿宋_GB2312" w:cs="宋体"/>
          <w:sz w:val="32"/>
          <w:szCs w:val="32"/>
        </w:rPr>
        <w:t>楼内立管应分区标识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3.1.7.3</w:t>
      </w:r>
      <w:r>
        <w:rPr>
          <w:rFonts w:hint="eastAsia" w:ascii="仿宋_GB2312" w:hAnsi="宋体" w:eastAsia="仿宋_GB2312" w:cs="宋体"/>
          <w:sz w:val="32"/>
          <w:szCs w:val="32"/>
        </w:rPr>
        <w:t>排气阀设置符合设计要求，且通水后应开启。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配件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3.2.1</w:t>
      </w:r>
      <w:r>
        <w:rPr>
          <w:rFonts w:hint="eastAsia" w:ascii="仿宋_GB2312" w:hAnsi="宋体" w:eastAsia="仿宋_GB2312" w:cs="宋体"/>
          <w:sz w:val="32"/>
          <w:szCs w:val="32"/>
        </w:rPr>
        <w:t>减压阀设置符合设计要求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安装应符合下列要求：</w:t>
      </w:r>
    </w:p>
    <w:p>
      <w:pPr>
        <w:pStyle w:val="9"/>
        <w:tabs>
          <w:tab w:val="left" w:pos="857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bookmark0"/>
      <w:r>
        <w:rPr>
          <w:rFonts w:ascii="仿宋_GB2312" w:eastAsia="仿宋_GB2312"/>
          <w:sz w:val="32"/>
          <w:szCs w:val="32"/>
        </w:rPr>
        <w:t>1</w:t>
      </w:r>
      <w:bookmarkEnd w:id="0"/>
      <w:r>
        <w:rPr>
          <w:rFonts w:hint="eastAsia" w:ascii="仿宋_GB2312" w:hAnsi="宋体" w:eastAsia="仿宋_GB2312" w:cs="宋体"/>
          <w:sz w:val="32"/>
          <w:szCs w:val="32"/>
        </w:rPr>
        <w:t>）减压阀组件应设置在不结冻场所，否则应采取保温措施；</w:t>
      </w:r>
    </w:p>
    <w:p>
      <w:pPr>
        <w:pStyle w:val="9"/>
        <w:tabs>
          <w:tab w:val="left" w:pos="896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1" w:name="bookmark1"/>
      <w:r>
        <w:rPr>
          <w:rFonts w:ascii="仿宋_GB2312" w:eastAsia="仿宋_GB2312"/>
          <w:sz w:val="32"/>
          <w:szCs w:val="32"/>
        </w:rPr>
        <w:t>2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）减压阀应设置在单向流动的管道上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安装时注意表明减压阀水流方向，不得装反；</w:t>
      </w:r>
    </w:p>
    <w:p>
      <w:pPr>
        <w:pStyle w:val="9"/>
        <w:tabs>
          <w:tab w:val="left" w:pos="891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2" w:name="bookmark2"/>
      <w:r>
        <w:rPr>
          <w:rFonts w:ascii="仿宋_GB2312" w:eastAsia="仿宋_GB2312"/>
          <w:sz w:val="32"/>
          <w:szCs w:val="32"/>
        </w:rPr>
        <w:t>3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）可调式减压阀宜水平安装，比例式减压阀宜垂直安装，水平安装时其阀体上的呼吸孔朝下或朝向侧面，不允许朝上，垂直安装时孔口应置于易观察、检查之方向。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检验方法：现场观察。</w:t>
      </w:r>
    </w:p>
    <w:p>
      <w:pPr>
        <w:pStyle w:val="9"/>
        <w:spacing w:line="560" w:lineRule="exact"/>
        <w:ind w:left="120" w:leftChars="50" w:firstLine="640" w:firstLineChars="200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3.2.2</w:t>
      </w:r>
      <w:r>
        <w:rPr>
          <w:rFonts w:hint="eastAsia" w:ascii="仿宋_GB2312" w:hAnsi="宋体" w:eastAsia="仿宋_GB2312" w:cs="宋体"/>
          <w:sz w:val="32"/>
          <w:szCs w:val="32"/>
        </w:rPr>
        <w:t>倒流防止器必须水平安装，排水口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应采用</w:t>
      </w:r>
      <w:r>
        <w:rPr>
          <w:rFonts w:hint="eastAsia" w:ascii="仿宋_GB2312" w:hAnsi="宋体" w:eastAsia="仿宋_GB2312" w:cs="宋体"/>
          <w:sz w:val="32"/>
          <w:szCs w:val="32"/>
        </w:rPr>
        <w:t>间接排水，一般高出地面</w:t>
      </w:r>
      <w:r>
        <w:rPr>
          <w:rFonts w:ascii="仿宋_GB2312" w:eastAsia="仿宋_GB2312"/>
          <w:sz w:val="32"/>
          <w:szCs w:val="32"/>
          <w:lang w:val="en-US" w:eastAsia="zh-CN"/>
        </w:rPr>
        <w:t>300mm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9"/>
        <w:spacing w:line="560" w:lineRule="exact"/>
        <w:ind w:left="120" w:leftChars="50" w:firstLine="640" w:firstLineChars="200"/>
        <w:rPr>
          <w:rFonts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检验方法：现场检查。</w:t>
      </w:r>
    </w:p>
    <w:p>
      <w:pPr>
        <w:pStyle w:val="9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3.3</w:t>
      </w:r>
      <w:r>
        <w:rPr>
          <w:rFonts w:hint="eastAsia" w:ascii="仿宋_GB2312" w:hAnsi="宋体" w:eastAsia="仿宋_GB2312" w:cs="宋体"/>
          <w:sz w:val="32"/>
          <w:szCs w:val="32"/>
        </w:rPr>
        <w:t>管道井内水表安装应符合下列要求：</w:t>
      </w:r>
    </w:p>
    <w:p>
      <w:pPr>
        <w:pStyle w:val="9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sz w:val="32"/>
          <w:szCs w:val="32"/>
        </w:rPr>
        <w:t>3.3.1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高层管道井的水表应采用光电直读式远传水表，采购标准要求详见《威海市水务集团主要材料技术要求》。</w:t>
      </w:r>
    </w:p>
    <w:p>
      <w:pPr>
        <w:pStyle w:val="9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检验方法：现场观察。</w:t>
      </w:r>
    </w:p>
    <w:p>
      <w:pPr>
        <w:pStyle w:val="9"/>
        <w:spacing w:line="560" w:lineRule="exact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3.3.2</w:t>
      </w:r>
      <w:r>
        <w:rPr>
          <w:rFonts w:hint="eastAsia" w:ascii="仿宋_GB2312" w:hAnsi="宋体" w:eastAsia="仿宋_GB2312" w:cs="宋体"/>
          <w:sz w:val="32"/>
          <w:szCs w:val="32"/>
        </w:rPr>
        <w:t>水表前后直线管段的最小长度，应符合水表的产品样本的规定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一般可按下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列要求确定：</w:t>
      </w:r>
    </w:p>
    <w:p>
      <w:pPr>
        <w:pStyle w:val="9"/>
        <w:tabs>
          <w:tab w:val="left" w:pos="857"/>
        </w:tabs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lang w:eastAsia="zh-CN"/>
        </w:rPr>
      </w:pPr>
      <w:bookmarkStart w:id="3" w:name="bookmark3"/>
      <w:r>
        <w:rPr>
          <w:rFonts w:ascii="仿宋_GB2312" w:hAnsi="宋体" w:eastAsia="仿宋_GB2312" w:cs="宋体"/>
          <w:color w:val="auto"/>
          <w:sz w:val="32"/>
          <w:szCs w:val="32"/>
        </w:rPr>
        <w:t>1</w:t>
      </w:r>
      <w:bookmarkEnd w:id="3"/>
      <w:r>
        <w:rPr>
          <w:rFonts w:hint="eastAsia" w:ascii="仿宋_GB2312" w:hAnsi="宋体" w:eastAsia="仿宋_GB2312" w:cs="宋体"/>
          <w:color w:val="auto"/>
          <w:sz w:val="32"/>
          <w:szCs w:val="32"/>
        </w:rPr>
        <w:t>）螺翼式水表的前端应有</w:t>
      </w:r>
      <w:r>
        <w:rPr>
          <w:rFonts w:ascii="仿宋_GB2312" w:hAnsi="宋体" w:eastAsia="仿宋_GB2312" w:cs="宋体"/>
          <w:color w:val="auto"/>
          <w:sz w:val="32"/>
          <w:szCs w:val="32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至</w:t>
      </w:r>
      <w:r>
        <w:rPr>
          <w:rFonts w:ascii="仿宋_GB2312" w:hAnsi="宋体" w:eastAsia="仿宋_GB2312" w:cs="宋体"/>
          <w:color w:val="auto"/>
          <w:sz w:val="32"/>
          <w:szCs w:val="32"/>
        </w:rPr>
        <w:t>10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倍水表</w:t>
      </w:r>
      <w:r>
        <w:rPr>
          <w:rFonts w:hint="eastAsia" w:ascii="仿宋_GB2312" w:hAnsi="宋体" w:eastAsia="仿宋_GB2312" w:cs="宋体"/>
          <w:sz w:val="32"/>
          <w:szCs w:val="32"/>
        </w:rPr>
        <w:t>公称直径的直管段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；</w:t>
      </w:r>
    </w:p>
    <w:p>
      <w:pPr>
        <w:pStyle w:val="9"/>
        <w:tabs>
          <w:tab w:val="left" w:pos="881"/>
        </w:tabs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lang w:eastAsia="zh-CN"/>
        </w:rPr>
      </w:pPr>
      <w:bookmarkStart w:id="4" w:name="bookmark4"/>
      <w:r>
        <w:rPr>
          <w:rFonts w:ascii="仿宋_GB2312" w:hAnsi="宋体" w:eastAsia="仿宋_GB2312" w:cs="宋体"/>
          <w:sz w:val="32"/>
          <w:szCs w:val="32"/>
        </w:rPr>
        <w:t>2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）其他类型水表前后，宜有不小于</w:t>
      </w:r>
      <w:r>
        <w:rPr>
          <w:rFonts w:ascii="仿宋_GB2312" w:hAnsi="宋体" w:eastAsia="仿宋_GB2312" w:cs="宋体"/>
          <w:sz w:val="32"/>
          <w:szCs w:val="32"/>
        </w:rPr>
        <w:t>300mm</w:t>
      </w:r>
      <w:r>
        <w:rPr>
          <w:rFonts w:hint="eastAsia" w:ascii="仿宋_GB2312" w:hAnsi="宋体" w:eastAsia="仿宋_GB2312" w:cs="宋体"/>
          <w:sz w:val="32"/>
          <w:szCs w:val="32"/>
        </w:rPr>
        <w:t>的直管段。</w:t>
      </w:r>
    </w:p>
    <w:p>
      <w:pPr>
        <w:pStyle w:val="9"/>
        <w:tabs>
          <w:tab w:val="left" w:pos="881"/>
        </w:tabs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检验方法：现场观察、尺量。</w:t>
      </w:r>
    </w:p>
    <w:p>
      <w:pPr>
        <w:pStyle w:val="9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3.3.3</w:t>
      </w:r>
      <w:r>
        <w:rPr>
          <w:rFonts w:hint="eastAsia" w:ascii="仿宋_GB2312" w:hAnsi="宋体" w:eastAsia="仿宋_GB2312" w:cs="宋体"/>
          <w:sz w:val="32"/>
          <w:szCs w:val="32"/>
        </w:rPr>
        <w:t>装设水表的地点应符合下列要求：</w:t>
      </w:r>
    </w:p>
    <w:p>
      <w:pPr>
        <w:pStyle w:val="9"/>
        <w:tabs>
          <w:tab w:val="left" w:pos="857"/>
        </w:tabs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5" w:name="bookmark5"/>
      <w:r>
        <w:rPr>
          <w:rFonts w:ascii="仿宋_GB2312" w:hAnsi="宋体" w:eastAsia="仿宋_GB2312" w:cs="宋体"/>
          <w:sz w:val="32"/>
          <w:szCs w:val="32"/>
        </w:rPr>
        <w:t>1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便于</w:t>
      </w:r>
      <w:r>
        <w:rPr>
          <w:rFonts w:hint="eastAsia" w:ascii="仿宋_GB2312" w:hAnsi="宋体" w:eastAsia="仿宋_GB2312" w:cs="宋体"/>
          <w:sz w:val="32"/>
          <w:szCs w:val="32"/>
        </w:rPr>
        <w:t>读数和检修；</w:t>
      </w:r>
    </w:p>
    <w:p>
      <w:pPr>
        <w:pStyle w:val="9"/>
        <w:tabs>
          <w:tab w:val="left" w:pos="876"/>
        </w:tabs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6" w:name="bookmark6"/>
      <w:r>
        <w:rPr>
          <w:rFonts w:ascii="仿宋_GB2312" w:hAnsi="宋体" w:eastAsia="仿宋_GB2312" w:cs="宋体"/>
          <w:sz w:val="32"/>
          <w:szCs w:val="32"/>
        </w:rPr>
        <w:t>2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）表外壳距墙表面净距应不低于水表高度，且不得小于</w:t>
      </w:r>
      <w:r>
        <w:rPr>
          <w:rFonts w:ascii="仿宋_GB2312" w:hAnsi="宋体" w:eastAsia="仿宋_GB2312" w:cs="宋体"/>
          <w:sz w:val="32"/>
          <w:szCs w:val="32"/>
          <w:lang w:eastAsia="zh-CN"/>
        </w:rPr>
        <w:t>100mm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>
      <w:pPr>
        <w:pStyle w:val="9"/>
        <w:tabs>
          <w:tab w:val="left" w:pos="876"/>
        </w:tabs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7" w:name="bookmark7"/>
      <w:r>
        <w:rPr>
          <w:rFonts w:ascii="仿宋_GB2312" w:hAnsi="宋体" w:eastAsia="仿宋_GB2312" w:cs="宋体"/>
          <w:sz w:val="32"/>
          <w:szCs w:val="32"/>
        </w:rPr>
        <w:t>3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）管道井要留有足够的更换空间；</w:t>
      </w:r>
    </w:p>
    <w:p>
      <w:pPr>
        <w:pStyle w:val="9"/>
        <w:tabs>
          <w:tab w:val="left" w:pos="896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bookmarkStart w:id="8" w:name="bookmark8"/>
      <w:r>
        <w:rPr>
          <w:rFonts w:ascii="仿宋_GB2312" w:hAnsi="宋体" w:eastAsia="仿宋_GB2312" w:cs="宋体"/>
          <w:sz w:val="32"/>
          <w:szCs w:val="32"/>
        </w:rPr>
        <w:t>4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）不被暴晒、不致冻结、不被任何液体及杂质所淹没和不易手碰撞的地方；</w:t>
      </w:r>
    </w:p>
    <w:p>
      <w:pPr>
        <w:pStyle w:val="9"/>
        <w:tabs>
          <w:tab w:val="left" w:pos="906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bookmarkStart w:id="9" w:name="bookmark9"/>
      <w:r>
        <w:rPr>
          <w:rFonts w:ascii="仿宋_GB2312" w:hAnsi="宋体" w:eastAsia="仿宋_GB2312" w:cs="宋体"/>
          <w:sz w:val="32"/>
          <w:szCs w:val="32"/>
        </w:rPr>
        <w:t>5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）住宅的分户水表宜设置在户外，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采用</w:t>
      </w:r>
      <w:r>
        <w:rPr>
          <w:rFonts w:hint="eastAsia" w:ascii="仿宋_GB2312" w:hAnsi="宋体" w:eastAsia="仿宋_GB2312" w:cs="宋体"/>
          <w:sz w:val="32"/>
          <w:szCs w:val="32"/>
        </w:rPr>
        <w:t>远传水表时，控制箱宜设在一层管理室（管道井）。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检验方法：现场观察、尺量。</w:t>
      </w:r>
    </w:p>
    <w:p>
      <w:pPr>
        <w:pStyle w:val="9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3.3.4</w:t>
      </w:r>
      <w:r>
        <w:rPr>
          <w:rFonts w:hint="eastAsia" w:ascii="仿宋_GB2312" w:hAnsi="宋体" w:eastAsia="仿宋_GB2312" w:cs="宋体"/>
          <w:sz w:val="32"/>
          <w:szCs w:val="32"/>
        </w:rPr>
        <w:t>水表进水阀门前后严禁设预留口或加设三通管。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检验方法：现场观察。</w:t>
      </w:r>
    </w:p>
    <w:p>
      <w:pPr>
        <w:pStyle w:val="9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3.3.5</w:t>
      </w:r>
      <w:r>
        <w:rPr>
          <w:rFonts w:hint="eastAsia" w:ascii="仿宋_GB2312" w:hAnsi="宋体" w:eastAsia="仿宋_GB2312" w:cs="宋体"/>
          <w:sz w:val="32"/>
          <w:szCs w:val="32"/>
        </w:rPr>
        <w:t>室内井室内管道、水表应做支架与保温措施。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检验方法：现场观察、尺量。</w:t>
      </w:r>
      <w:bookmarkStart w:id="17" w:name="_GoBack"/>
      <w:bookmarkEnd w:id="17"/>
    </w:p>
    <w:p>
      <w:pPr>
        <w:pStyle w:val="9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3.4</w:t>
      </w:r>
      <w:r>
        <w:rPr>
          <w:rFonts w:hint="eastAsia" w:ascii="仿宋_GB2312" w:hAnsi="宋体" w:eastAsia="仿宋_GB2312" w:cs="宋体"/>
          <w:sz w:val="32"/>
          <w:szCs w:val="32"/>
        </w:rPr>
        <w:t>管道井应满足以下要求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3.4.1</w:t>
      </w:r>
      <w:r>
        <w:rPr>
          <w:rFonts w:hint="eastAsia" w:ascii="仿宋_GB2312" w:hAnsi="宋体" w:eastAsia="仿宋_GB2312" w:cs="宋体"/>
          <w:sz w:val="32"/>
          <w:szCs w:val="32"/>
        </w:rPr>
        <w:t>确保集中器、采集器与电表通讯连接安装符合规范，设备箱安装符合规范。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3.4.2</w:t>
      </w:r>
      <w:r>
        <w:rPr>
          <w:rFonts w:hint="eastAsia" w:ascii="仿宋_GB2312" w:hAnsi="宋体" w:eastAsia="仿宋_GB2312" w:cs="宋体"/>
          <w:sz w:val="32"/>
          <w:szCs w:val="32"/>
        </w:rPr>
        <w:t>确保远程采集系统表计数据、主站与集中器之间能正常通讯并传输数据。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3.4.3</w:t>
      </w:r>
      <w:r>
        <w:rPr>
          <w:rFonts w:hint="eastAsia" w:ascii="仿宋_GB2312" w:hAnsi="宋体" w:eastAsia="仿宋_GB2312" w:cs="宋体"/>
          <w:sz w:val="32"/>
          <w:szCs w:val="32"/>
        </w:rPr>
        <w:t>水表井内管道、管道井及室外户表井内管道及其附件应根据实际情况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选用相应的防冻保温措施，具体措施应符合设计要求。保温在管道焊接、水压试验合格后进行；法兰两侧应留有间隙，每侧间隙的宽度为螺栓长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度</w:t>
      </w:r>
      <w:r>
        <w:rPr>
          <w:rFonts w:hint="eastAsia" w:ascii="仿宋_GB2312" w:hAnsi="宋体" w:eastAsia="仿宋_GB2312" w:cs="宋体"/>
          <w:sz w:val="32"/>
          <w:szCs w:val="32"/>
        </w:rPr>
        <w:t>加</w:t>
      </w:r>
      <w:r>
        <w:rPr>
          <w:rFonts w:ascii="仿宋_GB2312" w:hAnsi="宋体" w:eastAsia="仿宋_GB2312" w:cs="宋体"/>
          <w:sz w:val="32"/>
          <w:szCs w:val="32"/>
        </w:rPr>
        <w:t>20</w:t>
      </w:r>
      <w:r>
        <w:rPr>
          <w:rFonts w:hint="eastAsia" w:ascii="MS Mincho" w:hAnsi="MS Mincho" w:cs="MS Mincho" w:eastAsiaTheme="minorEastAsia"/>
          <w:sz w:val="32"/>
          <w:szCs w:val="32"/>
          <w:lang w:eastAsia="zh-CN"/>
        </w:rPr>
        <w:t>—</w:t>
      </w:r>
      <w:r>
        <w:rPr>
          <w:rFonts w:ascii="仿宋_GB2312" w:hAnsi="宋体" w:eastAsia="仿宋_GB2312" w:cs="宋体"/>
          <w:sz w:val="32"/>
          <w:szCs w:val="32"/>
        </w:rPr>
        <w:t>30mm</w:t>
      </w:r>
      <w:r>
        <w:rPr>
          <w:rFonts w:hint="eastAsia" w:ascii="仿宋_GB2312" w:hAnsi="宋体" w:eastAsia="仿宋_GB2312" w:cs="宋体"/>
          <w:sz w:val="32"/>
          <w:szCs w:val="32"/>
        </w:rPr>
        <w:t>；保温层与滑动支座、吊架、支架处应留出空隙；硬质保温结构，应留伸缩缝；保温层伸缩缝宽度的允许偏差应为±</w:t>
      </w:r>
      <w:r>
        <w:rPr>
          <w:rFonts w:ascii="仿宋_GB2312" w:hAnsi="宋体" w:eastAsia="仿宋_GB2312" w:cs="宋体"/>
          <w:sz w:val="32"/>
          <w:szCs w:val="32"/>
        </w:rPr>
        <w:t>5mm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pStyle w:val="9"/>
        <w:spacing w:line="560" w:lineRule="exact"/>
        <w:ind w:left="120" w:leftChars="50" w:firstLine="640" w:firstLineChars="200"/>
        <w:rPr>
          <w:rFonts w:ascii="仿宋_GB2312" w:hAnsi="宋体" w:eastAsia="仿宋_GB2312" w:cs="宋体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sz w:val="32"/>
          <w:szCs w:val="32"/>
        </w:rPr>
        <w:t>3.4.4</w:t>
      </w:r>
      <w:r>
        <w:rPr>
          <w:rFonts w:hint="eastAsia" w:ascii="仿宋_GB2312" w:hAnsi="宋体" w:eastAsia="仿宋_GB2312" w:cs="宋体"/>
          <w:sz w:val="32"/>
          <w:szCs w:val="32"/>
        </w:rPr>
        <w:t>需要进人维修的管道井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其维修人员的工作通道净宽不宜小于</w:t>
      </w:r>
      <w:r>
        <w:rPr>
          <w:rFonts w:ascii="仿宋_GB2312" w:hAnsi="宋体" w:eastAsia="仿宋_GB2312" w:cs="宋体"/>
          <w:sz w:val="32"/>
          <w:szCs w:val="32"/>
        </w:rPr>
        <w:t>0.6m</w:t>
      </w:r>
      <w:r>
        <w:rPr>
          <w:rFonts w:hint="eastAsia" w:ascii="仿宋_GB2312" w:hAnsi="宋体" w:eastAsia="仿宋_GB2312" w:cs="宋体"/>
          <w:sz w:val="32"/>
          <w:szCs w:val="32"/>
        </w:rPr>
        <w:t>。给水管应在冷冻水管、排水管的上面，在热水管、蒸汽管的下面。室内明敷给水管道与墙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梁、柱的间距应满足施工、维护、检修的要求，一般可参照下列规定：横干管与墙、地沟壁的净距大于等于</w:t>
      </w:r>
      <w:r>
        <w:rPr>
          <w:rFonts w:ascii="仿宋_GB2312" w:hAnsi="宋体" w:eastAsia="仿宋_GB2312" w:cs="宋体"/>
          <w:sz w:val="32"/>
          <w:szCs w:val="32"/>
        </w:rPr>
        <w:t>100mm,</w:t>
      </w:r>
      <w:r>
        <w:rPr>
          <w:rFonts w:hint="eastAsia" w:ascii="仿宋_GB2312" w:hAnsi="宋体" w:eastAsia="仿宋_GB2312" w:cs="宋体"/>
          <w:sz w:val="32"/>
          <w:szCs w:val="32"/>
        </w:rPr>
        <w:t>与梁、柱净距大于等于</w:t>
      </w:r>
      <w:r>
        <w:rPr>
          <w:rFonts w:ascii="仿宋_GB2312" w:hAnsi="宋体" w:eastAsia="仿宋_GB2312" w:cs="宋体"/>
          <w:sz w:val="32"/>
          <w:szCs w:val="32"/>
          <w:lang w:eastAsia="zh-CN"/>
        </w:rPr>
        <w:t>10</w:t>
      </w:r>
      <w:r>
        <w:rPr>
          <w:rFonts w:ascii="仿宋_GB2312" w:hAnsi="宋体" w:eastAsia="仿宋_GB2312" w:cs="宋体"/>
          <w:sz w:val="32"/>
          <w:szCs w:val="32"/>
        </w:rPr>
        <w:t>0mm</w:t>
      </w:r>
      <w:r>
        <w:rPr>
          <w:rFonts w:hint="eastAsia" w:ascii="仿宋_GB2312" w:hAnsi="宋体" w:eastAsia="仿宋_GB2312" w:cs="宋体"/>
          <w:sz w:val="32"/>
          <w:szCs w:val="32"/>
        </w:rPr>
        <w:t>（此处无接头）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pStyle w:val="9"/>
        <w:spacing w:line="560" w:lineRule="exact"/>
        <w:ind w:firstLine="640" w:firstLineChars="200"/>
        <w:jc w:val="both"/>
        <w:rPr>
          <w:rFonts w:ascii="黑体" w:hAnsi="黑体" w:eastAsia="黑体" w:cs="宋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4</w:t>
      </w:r>
      <w:r>
        <w:rPr>
          <w:rFonts w:ascii="黑体" w:hAnsi="黑体" w:eastAsia="黑体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宋体"/>
          <w:bCs/>
          <w:sz w:val="32"/>
          <w:szCs w:val="32"/>
        </w:rPr>
        <w:t>资料验收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在竣工验收前，施工单位应整理工程档案资料，报送至建设单位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z w:val="32"/>
          <w:szCs w:val="32"/>
        </w:rPr>
        <w:t>项目接受单位。资料应包括但不限于以下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内容。</w:t>
      </w:r>
    </w:p>
    <w:p>
      <w:pPr>
        <w:pStyle w:val="9"/>
        <w:tabs>
          <w:tab w:val="left" w:pos="598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4.1</w:t>
      </w:r>
      <w:r>
        <w:rPr>
          <w:rFonts w:hint="eastAsia" w:ascii="仿宋_GB2312" w:hAnsi="宋体" w:eastAsia="仿宋_GB2312" w:cs="宋体"/>
          <w:sz w:val="32"/>
          <w:szCs w:val="32"/>
        </w:rPr>
        <w:t>建设工程合同、工程的设计图纸（如有设计变更需含相关资料）及其他有关设计文件、图纸会审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记录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pStyle w:val="9"/>
        <w:tabs>
          <w:tab w:val="left" w:pos="598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bookmarkStart w:id="10" w:name="bookmark38"/>
      <w:bookmarkEnd w:id="10"/>
      <w:r>
        <w:rPr>
          <w:rFonts w:ascii="仿宋_GB2312" w:hAnsi="宋体" w:eastAsia="仿宋_GB2312" w:cs="宋体"/>
          <w:sz w:val="32"/>
          <w:szCs w:val="32"/>
        </w:rPr>
        <w:t>4.2</w:t>
      </w:r>
      <w:r>
        <w:rPr>
          <w:rFonts w:hint="eastAsia" w:ascii="仿宋_GB2312" w:hAnsi="宋体" w:eastAsia="仿宋_GB2312" w:cs="宋体"/>
          <w:sz w:val="32"/>
          <w:szCs w:val="32"/>
        </w:rPr>
        <w:t>开工报告。</w:t>
      </w:r>
    </w:p>
    <w:p>
      <w:pPr>
        <w:pStyle w:val="9"/>
        <w:tabs>
          <w:tab w:val="left" w:pos="598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4.3</w:t>
      </w:r>
      <w:r>
        <w:rPr>
          <w:rFonts w:hint="eastAsia" w:ascii="仿宋_GB2312" w:hAnsi="宋体" w:eastAsia="仿宋_GB2312" w:cs="宋体"/>
          <w:sz w:val="32"/>
          <w:szCs w:val="32"/>
        </w:rPr>
        <w:t>工程竣工总结、监理总结（无监理可不需要），工程竣工验收报告及竣工图（总平面图；</w:t>
      </w:r>
      <w:r>
        <w:rPr>
          <w:rFonts w:ascii="仿宋_GB2312" w:hAnsi="宋体" w:eastAsia="仿宋_GB2312" w:cs="宋体"/>
          <w:sz w:val="32"/>
          <w:szCs w:val="32"/>
        </w:rPr>
        <w:t>1:500</w:t>
      </w:r>
      <w:r>
        <w:rPr>
          <w:rFonts w:hint="eastAsia" w:ascii="仿宋_GB2312" w:hAnsi="宋体" w:eastAsia="仿宋_GB2312" w:cs="宋体"/>
          <w:sz w:val="32"/>
          <w:szCs w:val="32"/>
        </w:rPr>
        <w:t>平面图；纵、横断面图；节点图；闸门、消防栓点卡片；弯头、三通、支墩示意图；穿越障碍、过河、过沟处详图等），其中竣工图除提供</w:t>
      </w: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套纸质资料外，还需提供电子版。竣工测量成果（需按照竣工测量要求测量，符合国家与地方及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水务</w:t>
      </w:r>
      <w:r>
        <w:rPr>
          <w:rFonts w:hint="eastAsia" w:ascii="仿宋_GB2312" w:hAnsi="宋体" w:eastAsia="仿宋_GB2312" w:cs="宋体"/>
          <w:sz w:val="32"/>
          <w:szCs w:val="32"/>
        </w:rPr>
        <w:t>集团的探测成果数据与竣工测量成果图的相关标准备档要求）。</w:t>
      </w:r>
    </w:p>
    <w:p>
      <w:pPr>
        <w:pStyle w:val="9"/>
        <w:tabs>
          <w:tab w:val="left" w:pos="598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注：竣工测量成果图和竣工图纸应满足以下要求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pStyle w:val="9"/>
        <w:tabs>
          <w:tab w:val="left" w:pos="598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bookmarkStart w:id="11" w:name="bookmark39"/>
      <w:bookmarkEnd w:id="11"/>
      <w:r>
        <w:rPr>
          <w:rFonts w:ascii="仿宋_GB2312" w:hAnsi="宋体" w:eastAsia="仿宋_GB2312" w:cs="宋体"/>
          <w:sz w:val="32"/>
          <w:szCs w:val="32"/>
          <w:lang w:eastAsia="zh-CN"/>
        </w:rPr>
        <w:t>a.</w:t>
      </w:r>
      <w:r>
        <w:rPr>
          <w:rFonts w:hint="eastAsia" w:ascii="仿宋_GB2312" w:hAnsi="宋体" w:eastAsia="仿宋_GB2312" w:cs="宋体"/>
          <w:sz w:val="32"/>
          <w:szCs w:val="32"/>
        </w:rPr>
        <w:t>主管道、分支管道、河口管道走向应一致；</w:t>
      </w:r>
    </w:p>
    <w:p>
      <w:pPr>
        <w:pStyle w:val="9"/>
        <w:tabs>
          <w:tab w:val="left" w:pos="598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bookmarkStart w:id="12" w:name="bookmark40"/>
      <w:bookmarkEnd w:id="12"/>
      <w:r>
        <w:rPr>
          <w:rFonts w:ascii="仿宋_GB2312" w:hAnsi="宋体" w:eastAsia="仿宋_GB2312" w:cs="宋体"/>
          <w:sz w:val="32"/>
          <w:szCs w:val="32"/>
          <w:lang w:eastAsia="zh-CN"/>
        </w:rPr>
        <w:t>b.</w:t>
      </w:r>
      <w:r>
        <w:rPr>
          <w:rFonts w:hint="eastAsia" w:ascii="仿宋_GB2312" w:hAnsi="宋体" w:eastAsia="仿宋_GB2312" w:cs="宋体"/>
          <w:sz w:val="32"/>
          <w:szCs w:val="32"/>
        </w:rPr>
        <w:t>主管道、分支管道各管材界定应一致；</w:t>
      </w:r>
    </w:p>
    <w:p>
      <w:pPr>
        <w:pStyle w:val="9"/>
        <w:tabs>
          <w:tab w:val="left" w:pos="598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bookmarkStart w:id="13" w:name="bookmark41"/>
      <w:bookmarkEnd w:id="13"/>
      <w:r>
        <w:rPr>
          <w:rFonts w:ascii="仿宋_GB2312" w:hAnsi="宋体" w:eastAsia="仿宋_GB2312" w:cs="宋体"/>
          <w:sz w:val="32"/>
          <w:szCs w:val="32"/>
          <w:lang w:eastAsia="zh-CN"/>
        </w:rPr>
        <w:t>c.</w:t>
      </w:r>
      <w:r>
        <w:rPr>
          <w:rFonts w:hint="eastAsia" w:ascii="仿宋_GB2312" w:hAnsi="宋体" w:eastAsia="仿宋_GB2312" w:cs="宋体"/>
          <w:sz w:val="32"/>
          <w:szCs w:val="32"/>
        </w:rPr>
        <w:t>各种管道管材长度应一致。</w:t>
      </w:r>
    </w:p>
    <w:p>
      <w:pPr>
        <w:pStyle w:val="9"/>
        <w:tabs>
          <w:tab w:val="left" w:pos="598"/>
        </w:tabs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4.4</w:t>
      </w:r>
      <w:r>
        <w:rPr>
          <w:rFonts w:hint="eastAsia" w:ascii="仿宋_GB2312" w:hAnsi="宋体" w:eastAsia="仿宋_GB2312" w:cs="宋体"/>
          <w:sz w:val="32"/>
          <w:szCs w:val="32"/>
        </w:rPr>
        <w:t>施工组织设计报验资料。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hAnsi="宋体" w:eastAsia="仿宋_GB2312" w:cs="宋体"/>
          <w:sz w:val="32"/>
          <w:szCs w:val="32"/>
        </w:rPr>
        <w:t>工程所用主要建设材料明细表；建筑构配件和设备的出厂检验合格证明、产品说明书、进货单和进厂检验报告；材料合格证明、卫生许可证、阀门检测合格证明。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4.6</w:t>
      </w:r>
      <w:r>
        <w:rPr>
          <w:rFonts w:hint="eastAsia" w:ascii="仿宋_GB2312" w:hAnsi="宋体" w:eastAsia="仿宋_GB2312" w:cs="宋体"/>
          <w:sz w:val="32"/>
          <w:szCs w:val="32"/>
        </w:rPr>
        <w:t>施工过程控制记录表，每一状态需现场拍照存档（照片为电子版）。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4.7</w:t>
      </w:r>
      <w:r>
        <w:rPr>
          <w:rFonts w:hint="eastAsia" w:ascii="仿宋_GB2312" w:hAnsi="宋体" w:eastAsia="仿宋_GB2312" w:cs="宋体"/>
          <w:sz w:val="32"/>
          <w:szCs w:val="32"/>
        </w:rPr>
        <w:t>水压试验合格证明（在水压试验合格证明的背面附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有</w:t>
      </w:r>
      <w:r>
        <w:rPr>
          <w:rFonts w:hint="eastAsia" w:ascii="仿宋_GB2312" w:hAnsi="宋体" w:eastAsia="仿宋_GB2312" w:cs="宋体"/>
          <w:sz w:val="32"/>
          <w:szCs w:val="32"/>
        </w:rPr>
        <w:t>整个工程的管线示意图，并对本次试验管段进行红色标注）。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sz w:val="32"/>
          <w:szCs w:val="32"/>
        </w:rPr>
        <w:t>4.8</w:t>
      </w:r>
      <w:r>
        <w:rPr>
          <w:rFonts w:hint="eastAsia" w:ascii="仿宋_GB2312" w:hAnsi="宋体" w:eastAsia="仿宋_GB2312" w:cs="宋体"/>
          <w:sz w:val="32"/>
          <w:szCs w:val="32"/>
        </w:rPr>
        <w:t>管道冲洗检验水质检测报告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4.</w:t>
      </w:r>
      <w:r>
        <w:rPr>
          <w:rFonts w:ascii="仿宋_GB2312" w:eastAsia="仿宋_GB2312"/>
          <w:sz w:val="32"/>
          <w:szCs w:val="32"/>
          <w:lang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材料明细表。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4.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材料安装资料（含现场机具进出场记录；螺栓拧紧记录；钢管探伤报告，需由集团公司认可的探伤单位出具，对焊缝需实施</w:t>
      </w:r>
      <w:r>
        <w:rPr>
          <w:rFonts w:ascii="仿宋_GB2312" w:eastAsia="仿宋_GB2312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32"/>
          <w:szCs w:val="32"/>
        </w:rPr>
        <w:t>探伤等）。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4.11</w:t>
      </w:r>
      <w:r>
        <w:rPr>
          <w:rFonts w:hint="eastAsia" w:ascii="仿宋_GB2312" w:hAnsi="宋体" w:eastAsia="仿宋_GB2312" w:cs="宋体"/>
          <w:sz w:val="32"/>
          <w:szCs w:val="32"/>
        </w:rPr>
        <w:t>闸门记录卡片（包括：阀门、排气阀、泄水阀、减压阀）、消防记录卡片。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4.12</w:t>
      </w:r>
      <w:r>
        <w:rPr>
          <w:rFonts w:hint="eastAsia" w:ascii="仿宋_GB2312" w:hAnsi="宋体" w:eastAsia="仿宋_GB2312" w:cs="宋体"/>
          <w:sz w:val="32"/>
          <w:szCs w:val="32"/>
        </w:rPr>
        <w:t>光盘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竣工图、闸门卡片、照片（含管道合口、安装、穿越障碍、过河、过沟、顶管、明管防腐、管道无安全距离等照片）。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4.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管线竣工测量成果（需按照竣工测量要求测量，符合国家与地方及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水务</w:t>
      </w:r>
      <w:r>
        <w:rPr>
          <w:rFonts w:hint="eastAsia" w:ascii="仿宋_GB2312" w:hAnsi="宋体" w:eastAsia="仿宋_GB2312" w:cs="宋体"/>
          <w:sz w:val="32"/>
          <w:szCs w:val="32"/>
        </w:rPr>
        <w:t>集团的探测成果数据与竣工测量成果图的相关标准备档要求）。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4.1</w:t>
      </w:r>
      <w:r>
        <w:rPr>
          <w:rFonts w:ascii="仿宋_GB2312" w:hAnsi="宋体" w:eastAsia="仿宋_GB2312" w:cs="宋体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其他多媒体资料：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</w:rPr>
      </w:pPr>
      <w:bookmarkStart w:id="14" w:name="bookmark42"/>
      <w:r>
        <w:rPr>
          <w:rFonts w:ascii="仿宋_GB2312" w:hAnsi="宋体" w:eastAsia="仿宋_GB2312" w:cs="宋体"/>
          <w:sz w:val="32"/>
          <w:szCs w:val="32"/>
        </w:rPr>
        <w:t>1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）所有的节点如弯头、三通、合口、变径以及穿越障碍、过河、过沟处等需附加照片（电子版），照片编号需与竣工图上的编号相对应。</w:t>
      </w:r>
    </w:p>
    <w:p>
      <w:pPr>
        <w:pStyle w:val="9"/>
        <w:spacing w:line="560" w:lineRule="exact"/>
        <w:ind w:firstLine="640" w:firstLineChars="200"/>
        <w:jc w:val="both"/>
        <w:rPr>
          <w:rFonts w:ascii="仿宋_GB2312" w:hAnsi="宋体" w:eastAsia="仿宋_GB2312" w:cs="宋体"/>
          <w:sz w:val="32"/>
          <w:szCs w:val="32"/>
          <w:lang w:eastAsia="zh-CN"/>
        </w:rPr>
      </w:pPr>
      <w:bookmarkStart w:id="15" w:name="bookmark43"/>
      <w:r>
        <w:rPr>
          <w:rFonts w:ascii="仿宋_GB2312" w:hAnsi="宋体" w:eastAsia="仿宋_GB2312" w:cs="宋体"/>
          <w:sz w:val="32"/>
          <w:szCs w:val="32"/>
        </w:rPr>
        <w:t>2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）供水管道与周边其他管道不在安全距离范围内的，应采取保护措施，将两者之间放置尺子显示距离并拍照（照片为电子版）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pStyle w:val="9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16" w:name="bookmark44"/>
      <w:bookmarkEnd w:id="16"/>
      <w:r>
        <w:rPr>
          <w:rFonts w:ascii="黑体" w:hAnsi="黑体" w:eastAsia="黑体"/>
          <w:bCs/>
          <w:sz w:val="32"/>
          <w:szCs w:val="32"/>
        </w:rPr>
        <w:t>5</w:t>
      </w:r>
      <w:r>
        <w:rPr>
          <w:rFonts w:ascii="黑体" w:hAnsi="黑体" w:eastAsia="黑体"/>
          <w:bCs/>
          <w:sz w:val="32"/>
          <w:szCs w:val="32"/>
          <w:lang w:eastAsia="zh-CN"/>
        </w:rPr>
        <w:t>.</w:t>
      </w:r>
      <w:r>
        <w:rPr>
          <w:rFonts w:hint="eastAsia" w:ascii="黑体" w:hAnsi="黑体" w:eastAsia="黑体" w:cs="宋体"/>
          <w:bCs/>
          <w:sz w:val="32"/>
          <w:szCs w:val="32"/>
        </w:rPr>
        <w:t>附则</w:t>
      </w:r>
    </w:p>
    <w:p>
      <w:pPr>
        <w:pStyle w:val="9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本制度由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威海市水务集团有限公司</w:t>
      </w:r>
      <w:r>
        <w:rPr>
          <w:rFonts w:hint="eastAsia" w:ascii="仿宋_GB2312" w:hAnsi="宋体" w:eastAsia="仿宋_GB2312" w:cs="宋体"/>
          <w:sz w:val="32"/>
          <w:szCs w:val="32"/>
        </w:rPr>
        <w:t>负责解释。</w:t>
      </w:r>
    </w:p>
    <w:sectPr>
      <w:footerReference r:id="rId5" w:type="default"/>
      <w:type w:val="continuous"/>
      <w:pgSz w:w="11900" w:h="16840"/>
      <w:pgMar w:top="1928" w:right="1474" w:bottom="1814" w:left="1588" w:header="439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/>
      </w:rPr>
      <w:pict>
        <v:shape id="_x0000_s2049" o:spid="_x0000_s2049" o:spt="202" type="#_x0000_t202" style="position:absolute;left:0pt;margin-left:301.35pt;margin-top:777.15pt;height:5.75pt;width:3.6pt;mso-position-horizontal-relative:page;mso-position-vertical-relative:page;mso-wrap-style:non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81"/>
  <w:displayHorizont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92A"/>
    <w:rsid w:val="00002236"/>
    <w:rsid w:val="00030C16"/>
    <w:rsid w:val="00064EB0"/>
    <w:rsid w:val="000877E3"/>
    <w:rsid w:val="000B0DD5"/>
    <w:rsid w:val="000B6ED5"/>
    <w:rsid w:val="000E06E9"/>
    <w:rsid w:val="000E1C89"/>
    <w:rsid w:val="0013022A"/>
    <w:rsid w:val="00150EB1"/>
    <w:rsid w:val="00180258"/>
    <w:rsid w:val="001866BF"/>
    <w:rsid w:val="00186CC2"/>
    <w:rsid w:val="001A29B2"/>
    <w:rsid w:val="001A2F5B"/>
    <w:rsid w:val="001C0DF2"/>
    <w:rsid w:val="001C12E3"/>
    <w:rsid w:val="001E005F"/>
    <w:rsid w:val="001E13B2"/>
    <w:rsid w:val="002201A5"/>
    <w:rsid w:val="002211C7"/>
    <w:rsid w:val="00237D99"/>
    <w:rsid w:val="002639E6"/>
    <w:rsid w:val="00263CB7"/>
    <w:rsid w:val="00296435"/>
    <w:rsid w:val="002B6BEA"/>
    <w:rsid w:val="002D2779"/>
    <w:rsid w:val="002D553C"/>
    <w:rsid w:val="002E3451"/>
    <w:rsid w:val="002E35BE"/>
    <w:rsid w:val="002F54F0"/>
    <w:rsid w:val="00300F00"/>
    <w:rsid w:val="00342CBF"/>
    <w:rsid w:val="00355A06"/>
    <w:rsid w:val="00397225"/>
    <w:rsid w:val="003C450F"/>
    <w:rsid w:val="003E5D91"/>
    <w:rsid w:val="003E68D5"/>
    <w:rsid w:val="003E735A"/>
    <w:rsid w:val="0040166E"/>
    <w:rsid w:val="00411B25"/>
    <w:rsid w:val="004214FF"/>
    <w:rsid w:val="00467CFE"/>
    <w:rsid w:val="00484AB7"/>
    <w:rsid w:val="0054029C"/>
    <w:rsid w:val="0054038C"/>
    <w:rsid w:val="005636F6"/>
    <w:rsid w:val="0058738B"/>
    <w:rsid w:val="005961D8"/>
    <w:rsid w:val="005A2BFB"/>
    <w:rsid w:val="005A4263"/>
    <w:rsid w:val="005A6826"/>
    <w:rsid w:val="005C7B8F"/>
    <w:rsid w:val="005D50A0"/>
    <w:rsid w:val="00616C84"/>
    <w:rsid w:val="00631806"/>
    <w:rsid w:val="006475CA"/>
    <w:rsid w:val="00654B0A"/>
    <w:rsid w:val="00661F39"/>
    <w:rsid w:val="006808C3"/>
    <w:rsid w:val="006968FE"/>
    <w:rsid w:val="006A43B3"/>
    <w:rsid w:val="006E6B01"/>
    <w:rsid w:val="00737C0C"/>
    <w:rsid w:val="007427BE"/>
    <w:rsid w:val="007A2FC8"/>
    <w:rsid w:val="007A4B44"/>
    <w:rsid w:val="007C17AA"/>
    <w:rsid w:val="008305D0"/>
    <w:rsid w:val="0083300C"/>
    <w:rsid w:val="00850054"/>
    <w:rsid w:val="00887BBF"/>
    <w:rsid w:val="0089471E"/>
    <w:rsid w:val="00895D6E"/>
    <w:rsid w:val="008A3F21"/>
    <w:rsid w:val="008A486B"/>
    <w:rsid w:val="008B091D"/>
    <w:rsid w:val="008D5B13"/>
    <w:rsid w:val="008E5C44"/>
    <w:rsid w:val="008F37E8"/>
    <w:rsid w:val="008F6336"/>
    <w:rsid w:val="008F6C94"/>
    <w:rsid w:val="00920599"/>
    <w:rsid w:val="00944987"/>
    <w:rsid w:val="00951FD7"/>
    <w:rsid w:val="00962C85"/>
    <w:rsid w:val="00971EE0"/>
    <w:rsid w:val="00990AAA"/>
    <w:rsid w:val="00992BE9"/>
    <w:rsid w:val="00993994"/>
    <w:rsid w:val="00995052"/>
    <w:rsid w:val="009A3055"/>
    <w:rsid w:val="009A345E"/>
    <w:rsid w:val="009F0AB4"/>
    <w:rsid w:val="009F0CFD"/>
    <w:rsid w:val="00A14D2E"/>
    <w:rsid w:val="00A43210"/>
    <w:rsid w:val="00A43A2B"/>
    <w:rsid w:val="00A54260"/>
    <w:rsid w:val="00A5642B"/>
    <w:rsid w:val="00A717E1"/>
    <w:rsid w:val="00A758D7"/>
    <w:rsid w:val="00A85B8C"/>
    <w:rsid w:val="00AA0517"/>
    <w:rsid w:val="00AA5606"/>
    <w:rsid w:val="00AB30BE"/>
    <w:rsid w:val="00AC4149"/>
    <w:rsid w:val="00AC638D"/>
    <w:rsid w:val="00B615E0"/>
    <w:rsid w:val="00B800FB"/>
    <w:rsid w:val="00BE2C20"/>
    <w:rsid w:val="00BF16ED"/>
    <w:rsid w:val="00C002A4"/>
    <w:rsid w:val="00C024EF"/>
    <w:rsid w:val="00C258C1"/>
    <w:rsid w:val="00C37DA8"/>
    <w:rsid w:val="00C51492"/>
    <w:rsid w:val="00C51A54"/>
    <w:rsid w:val="00C622A5"/>
    <w:rsid w:val="00C96098"/>
    <w:rsid w:val="00CC5EEC"/>
    <w:rsid w:val="00D120AB"/>
    <w:rsid w:val="00D2192A"/>
    <w:rsid w:val="00D260B2"/>
    <w:rsid w:val="00D774CC"/>
    <w:rsid w:val="00DA02D2"/>
    <w:rsid w:val="00DB7CD3"/>
    <w:rsid w:val="00E00335"/>
    <w:rsid w:val="00E12B01"/>
    <w:rsid w:val="00E21E6B"/>
    <w:rsid w:val="00E325D5"/>
    <w:rsid w:val="00E504F6"/>
    <w:rsid w:val="00E53AD2"/>
    <w:rsid w:val="00E904FD"/>
    <w:rsid w:val="00EA1619"/>
    <w:rsid w:val="00EA6C92"/>
    <w:rsid w:val="00ED2693"/>
    <w:rsid w:val="00EF2315"/>
    <w:rsid w:val="00F23E7A"/>
    <w:rsid w:val="00F4736B"/>
    <w:rsid w:val="00F66660"/>
    <w:rsid w:val="00F72275"/>
    <w:rsid w:val="00F732D7"/>
    <w:rsid w:val="00F82361"/>
    <w:rsid w:val="00F8480A"/>
    <w:rsid w:val="00FA324E"/>
    <w:rsid w:val="00FA7ACE"/>
    <w:rsid w:val="00FC36E3"/>
    <w:rsid w:val="00FD358C"/>
    <w:rsid w:val="27E62FAC"/>
    <w:rsid w:val="3EC9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or footer|2_"/>
    <w:basedOn w:val="5"/>
    <w:link w:val="7"/>
    <w:locked/>
    <w:uiPriority w:val="99"/>
    <w:rPr>
      <w:rFonts w:cs="Times New Roman"/>
      <w:sz w:val="20"/>
      <w:szCs w:val="20"/>
      <w:u w:val="none"/>
      <w:shd w:val="clear" w:color="auto" w:fill="auto"/>
      <w:lang w:val="zh-TW" w:eastAsia="zh-TW"/>
    </w:rPr>
  </w:style>
  <w:style w:type="paragraph" w:customStyle="1" w:styleId="7">
    <w:name w:val="Header or footer|2"/>
    <w:basedOn w:val="1"/>
    <w:link w:val="6"/>
    <w:qFormat/>
    <w:uiPriority w:val="99"/>
    <w:rPr>
      <w:sz w:val="20"/>
      <w:szCs w:val="20"/>
      <w:lang w:val="zh-TW" w:eastAsia="zh-TW"/>
    </w:rPr>
  </w:style>
  <w:style w:type="character" w:customStyle="1" w:styleId="8">
    <w:name w:val="Body text|1_"/>
    <w:basedOn w:val="5"/>
    <w:link w:val="9"/>
    <w:locked/>
    <w:uiPriority w:val="99"/>
    <w:rPr>
      <w:rFonts w:ascii="宋体" w:hAnsi="宋体" w:cs="宋体"/>
      <w:sz w:val="22"/>
      <w:szCs w:val="22"/>
      <w:u w:val="none"/>
      <w:shd w:val="clear" w:color="auto" w:fill="auto"/>
      <w:lang w:val="zh-TW" w:eastAsia="zh-TW"/>
    </w:rPr>
  </w:style>
  <w:style w:type="paragraph" w:customStyle="1" w:styleId="9">
    <w:name w:val="Body text|1"/>
    <w:basedOn w:val="1"/>
    <w:link w:val="8"/>
    <w:uiPriority w:val="99"/>
    <w:pPr>
      <w:spacing w:line="442" w:lineRule="auto"/>
    </w:pPr>
    <w:rPr>
      <w:rFonts w:ascii="宋体" w:hAnsi="宋体" w:cs="宋体"/>
      <w:sz w:val="22"/>
      <w:szCs w:val="22"/>
      <w:lang w:val="zh-TW" w:eastAsia="zh-TW"/>
    </w:rPr>
  </w:style>
  <w:style w:type="character" w:customStyle="1" w:styleId="10">
    <w:name w:val="Header or footer|1_"/>
    <w:basedOn w:val="5"/>
    <w:link w:val="11"/>
    <w:qFormat/>
    <w:locked/>
    <w:uiPriority w:val="99"/>
    <w:rPr>
      <w:rFonts w:cs="Times New Roman"/>
      <w:sz w:val="16"/>
      <w:szCs w:val="16"/>
      <w:u w:val="none"/>
      <w:shd w:val="clear" w:color="auto" w:fill="auto"/>
      <w:lang w:val="zh-TW" w:eastAsia="zh-TW"/>
    </w:rPr>
  </w:style>
  <w:style w:type="paragraph" w:customStyle="1" w:styleId="11">
    <w:name w:val="Header or footer|1"/>
    <w:basedOn w:val="1"/>
    <w:link w:val="10"/>
    <w:uiPriority w:val="99"/>
    <w:rPr>
      <w:sz w:val="16"/>
      <w:szCs w:val="16"/>
      <w:lang w:val="zh-TW" w:eastAsia="zh-TW"/>
    </w:rPr>
  </w:style>
  <w:style w:type="character" w:customStyle="1" w:styleId="12">
    <w:name w:val="Other|1_"/>
    <w:basedOn w:val="5"/>
    <w:link w:val="13"/>
    <w:qFormat/>
    <w:locked/>
    <w:uiPriority w:val="99"/>
    <w:rPr>
      <w:rFonts w:ascii="宋体" w:hAnsi="宋体" w:cs="宋体"/>
      <w:sz w:val="22"/>
      <w:szCs w:val="22"/>
      <w:u w:val="none"/>
      <w:shd w:val="clear" w:color="auto" w:fill="auto"/>
      <w:lang w:val="zh-TW" w:eastAsia="zh-TW"/>
    </w:rPr>
  </w:style>
  <w:style w:type="paragraph" w:customStyle="1" w:styleId="13">
    <w:name w:val="Other|1"/>
    <w:basedOn w:val="1"/>
    <w:link w:val="12"/>
    <w:uiPriority w:val="99"/>
    <w:pPr>
      <w:spacing w:line="442" w:lineRule="auto"/>
    </w:pPr>
    <w:rPr>
      <w:rFonts w:ascii="宋体" w:hAnsi="宋体" w:cs="宋体"/>
      <w:sz w:val="22"/>
      <w:szCs w:val="22"/>
      <w:lang w:val="zh-TW" w:eastAsia="zh-TW"/>
    </w:rPr>
  </w:style>
  <w:style w:type="character" w:customStyle="1" w:styleId="14">
    <w:name w:val="Table caption|1_"/>
    <w:basedOn w:val="5"/>
    <w:link w:val="15"/>
    <w:locked/>
    <w:uiPriority w:val="99"/>
    <w:rPr>
      <w:rFonts w:ascii="宋体" w:hAnsi="宋体" w:cs="宋体"/>
      <w:sz w:val="22"/>
      <w:szCs w:val="22"/>
      <w:u w:val="none"/>
      <w:shd w:val="clear" w:color="auto" w:fill="auto"/>
      <w:lang w:val="zh-TW" w:eastAsia="zh-TW"/>
    </w:rPr>
  </w:style>
  <w:style w:type="paragraph" w:customStyle="1" w:styleId="15">
    <w:name w:val="Table caption|1"/>
    <w:basedOn w:val="1"/>
    <w:link w:val="14"/>
    <w:uiPriority w:val="99"/>
    <w:pPr>
      <w:spacing w:line="485" w:lineRule="exact"/>
    </w:pPr>
    <w:rPr>
      <w:rFonts w:ascii="宋体" w:hAnsi="宋体" w:cs="宋体"/>
      <w:sz w:val="22"/>
      <w:szCs w:val="22"/>
      <w:lang w:val="zh-TW" w:eastAsia="zh-TW"/>
    </w:rPr>
  </w:style>
  <w:style w:type="character" w:customStyle="1" w:styleId="16">
    <w:name w:val="页眉 Char"/>
    <w:basedOn w:val="5"/>
    <w:link w:val="3"/>
    <w:semiHidden/>
    <w:locked/>
    <w:uiPriority w:val="99"/>
    <w:rPr>
      <w:rFonts w:cs="Times New Roman"/>
      <w:color w:val="000000"/>
      <w:kern w:val="0"/>
      <w:sz w:val="18"/>
      <w:szCs w:val="18"/>
      <w:lang w:eastAsia="en-US"/>
    </w:rPr>
  </w:style>
  <w:style w:type="character" w:customStyle="1" w:styleId="17">
    <w:name w:val="页脚 Char"/>
    <w:basedOn w:val="5"/>
    <w:link w:val="2"/>
    <w:semiHidden/>
    <w:qFormat/>
    <w:locked/>
    <w:uiPriority w:val="99"/>
    <w:rPr>
      <w:rFonts w:cs="Times New Roman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523</Words>
  <Characters>2985</Characters>
  <Lines>24</Lines>
  <Paragraphs>7</Paragraphs>
  <TotalTime>212</TotalTime>
  <ScaleCrop>false</ScaleCrop>
  <LinksUpToDate>false</LinksUpToDate>
  <CharactersWithSpaces>3501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2021-11-02T07:58:00Z</dcterms:created>
  <dc:creator>a</dc:creator>
  <cp:lastModifiedBy>李松桧</cp:lastModifiedBy>
  <cp:lastPrinted>2021-11-12T00:29:00Z</cp:lastPrinted>
  <dcterms:modified xsi:type="dcterms:W3CDTF">2021-11-22T07:55:30Z</dcterms:modified>
  <dc:title>1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6DAA76DFF6694485864885AAC36360FD</vt:lpwstr>
  </property>
</Properties>
</file>